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B17EE" w14:textId="339E8643" w:rsidR="009D6D52" w:rsidRPr="0038282D" w:rsidRDefault="009D6D52" w:rsidP="00885F94">
      <w:pPr>
        <w:spacing w:line="233" w:lineRule="auto"/>
        <w:ind w:left="-15" w:right="-2" w:firstLine="15"/>
        <w:jc w:val="center"/>
        <w:rPr>
          <w:b/>
          <w:sz w:val="32"/>
          <w:szCs w:val="32"/>
        </w:rPr>
      </w:pPr>
      <w:r w:rsidRPr="0038282D">
        <w:rPr>
          <w:b/>
          <w:sz w:val="32"/>
          <w:szCs w:val="32"/>
        </w:rPr>
        <w:t>Уважаемый руководитель!</w:t>
      </w:r>
    </w:p>
    <w:p w14:paraId="3C52128D" w14:textId="77777777" w:rsidR="009D6D52" w:rsidRPr="0038282D" w:rsidRDefault="009D6D52" w:rsidP="00885F94">
      <w:pPr>
        <w:spacing w:line="233" w:lineRule="auto"/>
        <w:ind w:left="-15" w:right="-2" w:firstLine="15"/>
        <w:jc w:val="center"/>
        <w:rPr>
          <w:b/>
          <w:sz w:val="32"/>
          <w:szCs w:val="32"/>
        </w:rPr>
      </w:pPr>
    </w:p>
    <w:p w14:paraId="6391866A" w14:textId="17AAC07C" w:rsidR="009D6D52" w:rsidRPr="0038282D" w:rsidRDefault="000C7FAD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</w:t>
      </w:r>
      <w:r w:rsidR="009D6D52" w:rsidRPr="0038282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9D6D52" w:rsidRPr="0038282D">
        <w:rPr>
          <w:sz w:val="28"/>
          <w:szCs w:val="28"/>
        </w:rPr>
        <w:t xml:space="preserve"> Федеральной службы государственной статистики по Донецкой Народной Республике (далее – Донецкстат) в 2024 году </w:t>
      </w:r>
      <w:r>
        <w:rPr>
          <w:sz w:val="28"/>
          <w:szCs w:val="28"/>
        </w:rPr>
        <w:t>осуществляется</w:t>
      </w:r>
      <w:r w:rsidR="009D6D52" w:rsidRPr="0038282D">
        <w:rPr>
          <w:sz w:val="28"/>
          <w:szCs w:val="28"/>
        </w:rPr>
        <w:t xml:space="preserve"> сбор и обработк</w:t>
      </w:r>
      <w:r>
        <w:rPr>
          <w:sz w:val="28"/>
          <w:szCs w:val="28"/>
        </w:rPr>
        <w:t>а</w:t>
      </w:r>
      <w:r w:rsidR="009D6D52" w:rsidRPr="0038282D">
        <w:rPr>
          <w:sz w:val="28"/>
          <w:szCs w:val="28"/>
        </w:rPr>
        <w:t xml:space="preserve"> формы федерального статистического наблюдения № 11</w:t>
      </w:r>
      <w:r w:rsidR="005E7449">
        <w:rPr>
          <w:sz w:val="28"/>
          <w:szCs w:val="28"/>
        </w:rPr>
        <w:t xml:space="preserve"> (сделка)</w:t>
      </w:r>
      <w:r w:rsidR="009D6D52" w:rsidRPr="0038282D">
        <w:rPr>
          <w:sz w:val="28"/>
          <w:szCs w:val="28"/>
        </w:rPr>
        <w:t xml:space="preserve"> (годовая) «</w:t>
      </w:r>
      <w:r w:rsidR="005E7449">
        <w:rPr>
          <w:sz w:val="28"/>
          <w:szCs w:val="28"/>
        </w:rPr>
        <w:t>С</w:t>
      </w:r>
      <w:r w:rsidR="005E7449" w:rsidRPr="005E7449">
        <w:rPr>
          <w:sz w:val="28"/>
          <w:szCs w:val="28"/>
        </w:rPr>
        <w:t xml:space="preserve">ведения о сделках с основными фондами на вторичном рынке </w:t>
      </w:r>
      <w:r w:rsidR="005E7449" w:rsidRPr="005E7449">
        <w:rPr>
          <w:sz w:val="28"/>
          <w:szCs w:val="28"/>
        </w:rPr>
        <w:br/>
        <w:t>и сдаче их в аренду</w:t>
      </w:r>
      <w:r w:rsidR="009D6D52" w:rsidRPr="0038282D">
        <w:rPr>
          <w:sz w:val="28"/>
          <w:szCs w:val="28"/>
        </w:rPr>
        <w:t>», утве</w:t>
      </w:r>
      <w:r w:rsidR="00003E2C">
        <w:rPr>
          <w:sz w:val="28"/>
          <w:szCs w:val="28"/>
        </w:rPr>
        <w:t xml:space="preserve">ржденной приказом Росстата от </w:t>
      </w:r>
      <w:r w:rsidR="005E7449">
        <w:rPr>
          <w:sz w:val="28"/>
          <w:szCs w:val="28"/>
        </w:rPr>
        <w:t>31</w:t>
      </w:r>
      <w:r w:rsidR="00003E2C">
        <w:rPr>
          <w:sz w:val="28"/>
          <w:szCs w:val="28"/>
        </w:rPr>
        <w:t>.0</w:t>
      </w:r>
      <w:r w:rsidR="005E7449">
        <w:rPr>
          <w:sz w:val="28"/>
          <w:szCs w:val="28"/>
        </w:rPr>
        <w:t>7</w:t>
      </w:r>
      <w:r w:rsidR="00003E2C">
        <w:rPr>
          <w:sz w:val="28"/>
          <w:szCs w:val="28"/>
        </w:rPr>
        <w:t>.202</w:t>
      </w:r>
      <w:r w:rsidR="005E7449">
        <w:rPr>
          <w:sz w:val="28"/>
          <w:szCs w:val="28"/>
        </w:rPr>
        <w:t>3</w:t>
      </w:r>
      <w:r w:rsidR="00003E2C">
        <w:rPr>
          <w:sz w:val="28"/>
          <w:szCs w:val="28"/>
        </w:rPr>
        <w:t xml:space="preserve"> № </w:t>
      </w:r>
      <w:r w:rsidR="005E7449">
        <w:rPr>
          <w:sz w:val="28"/>
          <w:szCs w:val="28"/>
        </w:rPr>
        <w:t>364 (с изменениями)</w:t>
      </w:r>
      <w:r w:rsidR="00003E2C">
        <w:rPr>
          <w:sz w:val="28"/>
          <w:szCs w:val="28"/>
        </w:rPr>
        <w:t xml:space="preserve"> </w:t>
      </w:r>
      <w:r w:rsidR="009D6D52" w:rsidRPr="0038282D">
        <w:rPr>
          <w:sz w:val="28"/>
          <w:szCs w:val="28"/>
        </w:rPr>
        <w:t xml:space="preserve">(далее </w:t>
      </w:r>
      <w:r w:rsidR="009D6D52" w:rsidRPr="0038282D">
        <w:rPr>
          <w:sz w:val="28"/>
          <w:szCs w:val="28"/>
        </w:rPr>
        <w:sym w:font="Symbol" w:char="F02D"/>
      </w:r>
      <w:r w:rsidR="009D6D52" w:rsidRPr="0038282D">
        <w:rPr>
          <w:sz w:val="28"/>
          <w:szCs w:val="28"/>
        </w:rPr>
        <w:t xml:space="preserve"> форма</w:t>
      </w:r>
      <w:r w:rsidR="005E7449">
        <w:rPr>
          <w:sz w:val="28"/>
          <w:szCs w:val="28"/>
        </w:rPr>
        <w:t>)</w:t>
      </w:r>
      <w:r w:rsidR="00FA4F50" w:rsidRPr="0038282D">
        <w:rPr>
          <w:sz w:val="28"/>
          <w:szCs w:val="28"/>
        </w:rPr>
        <w:t>.</w:t>
      </w:r>
    </w:p>
    <w:p w14:paraId="5A8DF01A" w14:textId="3524619A" w:rsidR="005E7449" w:rsidRPr="005E7449" w:rsidRDefault="005E7449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статистические данные</w:t>
      </w:r>
      <w:r w:rsidRPr="005E7449">
        <w:rPr>
          <w:sz w:val="28"/>
          <w:szCs w:val="28"/>
        </w:rPr>
        <w:t xml:space="preserve"> по форме предоставляют юридические лица (кроме субъектов малого предпринимательства), осуществляющие все виды экономической деятельности, и предоставившие первичные статистические данные:</w:t>
      </w:r>
    </w:p>
    <w:p w14:paraId="1240FB5A" w14:textId="4FC10DDD" w:rsidR="005E7449" w:rsidRPr="005E7449" w:rsidRDefault="00C173F1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7449" w:rsidRPr="005E7449">
        <w:rPr>
          <w:sz w:val="28"/>
          <w:szCs w:val="28"/>
        </w:rPr>
        <w:t xml:space="preserve">по форме статистической отчетности № 11 по показателям: «Стоимость фактической продажи основных фондов другим организациям </w:t>
      </w:r>
      <w:r w:rsidR="005E7449" w:rsidRPr="005E7449">
        <w:rPr>
          <w:sz w:val="28"/>
          <w:szCs w:val="28"/>
        </w:rPr>
        <w:br/>
        <w:t xml:space="preserve">и гражданам, включая продажу основных фондов, ранее переведенных на забалансовый счет (без НДС) (кроме продажи в целях ликвидации)» </w:t>
      </w:r>
      <w:r w:rsidR="005E7449" w:rsidRPr="005E7449">
        <w:rPr>
          <w:sz w:val="28"/>
          <w:szCs w:val="28"/>
        </w:rPr>
        <w:br/>
        <w:t>и (или) «Доходные вложения в материальные ценности» и (или) «Основные фонды, сданные в операционную аренду, отражаемые арендодателем» и (или) «Увеличение полной учетной стоимости за отчетный год (поступление) за счет прочего поступления (приобретения на вторичном рынке, получения от другой организации и тому подобного)» (в графе 14 указан код «1»);</w:t>
      </w:r>
    </w:p>
    <w:p w14:paraId="61F7605E" w14:textId="23E0DFE5" w:rsidR="005E7449" w:rsidRPr="005E7449" w:rsidRDefault="00C173F1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7449" w:rsidRPr="005E7449">
        <w:rPr>
          <w:sz w:val="28"/>
          <w:szCs w:val="28"/>
        </w:rPr>
        <w:t>или по форме статистической отчетности № 11(краткая) по показателям: «Стоимость фактической продажи основных фондов другим организациям и гражданам, включая продажу основных фондов, ранее переведенных на забалансовый счет (кроме продажи в целях ликвидации)» и (или) «Увеличение полной учетной стоимости за отчетный год (поступление) за счет прочего поступления (приобретения на вторичном рынке, получения от другой организации и тому подобного)» (в графе 13 указан код «1»).</w:t>
      </w:r>
    </w:p>
    <w:p w14:paraId="6A38EA96" w14:textId="2AE23E6F" w:rsidR="005E7449" w:rsidRPr="005E7449" w:rsidRDefault="005E7449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5E7449">
        <w:rPr>
          <w:sz w:val="28"/>
          <w:szCs w:val="28"/>
        </w:rPr>
        <w:t>Данные предоставляются в целом по юридическому лицу, с учетом данных по всем его обособленным подразделениям и активам, находящимся в других субъектах Российской Федерации.</w:t>
      </w:r>
    </w:p>
    <w:p w14:paraId="248C60AC" w14:textId="77777777" w:rsidR="005E7449" w:rsidRPr="005E7449" w:rsidRDefault="005E7449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5E7449">
        <w:rPr>
          <w:sz w:val="28"/>
          <w:szCs w:val="28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0D5A3083" w14:textId="393061D1" w:rsidR="0075693E" w:rsidRDefault="0075693E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38282D">
        <w:rPr>
          <w:sz w:val="28"/>
          <w:szCs w:val="28"/>
        </w:rPr>
        <w:t xml:space="preserve">Бланк формы </w:t>
      </w:r>
      <w:r>
        <w:rPr>
          <w:sz w:val="28"/>
          <w:szCs w:val="28"/>
        </w:rPr>
        <w:t>с</w:t>
      </w:r>
      <w:r w:rsidRPr="0038282D">
        <w:rPr>
          <w:sz w:val="28"/>
          <w:szCs w:val="28"/>
        </w:rPr>
        <w:t xml:space="preserve"> Указания</w:t>
      </w:r>
      <w:r>
        <w:rPr>
          <w:sz w:val="28"/>
          <w:szCs w:val="28"/>
        </w:rPr>
        <w:t>ми</w:t>
      </w:r>
      <w:r w:rsidRPr="0038282D">
        <w:rPr>
          <w:sz w:val="28"/>
          <w:szCs w:val="28"/>
        </w:rPr>
        <w:t xml:space="preserve"> по ее заполнению размещены на официальном сайте Росстата (</w:t>
      </w:r>
      <w:hyperlink r:id="rId7" w:history="1">
        <w:r w:rsidRPr="00E60C4C">
          <w:rPr>
            <w:rStyle w:val="aa"/>
            <w:color w:val="auto"/>
            <w:sz w:val="28"/>
            <w:szCs w:val="28"/>
            <w:u w:val="none"/>
          </w:rPr>
          <w:t>https://rosstat.gov.ru</w:t>
        </w:r>
      </w:hyperlink>
      <w:r w:rsidRPr="0038282D">
        <w:rPr>
          <w:sz w:val="28"/>
          <w:szCs w:val="28"/>
        </w:rPr>
        <w:t xml:space="preserve">) в разделе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наблюдения. </w:t>
      </w:r>
    </w:p>
    <w:p w14:paraId="5803C211" w14:textId="07483D9B" w:rsidR="0075693E" w:rsidRDefault="0075693E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BE7250">
        <w:rPr>
          <w:sz w:val="28"/>
          <w:szCs w:val="28"/>
        </w:rPr>
        <w:t>Форма может быть пред</w:t>
      </w:r>
      <w:r>
        <w:rPr>
          <w:sz w:val="28"/>
          <w:szCs w:val="28"/>
        </w:rPr>
        <w:t>ставлена</w:t>
      </w:r>
      <w:r w:rsidRPr="00BE7250">
        <w:rPr>
          <w:sz w:val="28"/>
          <w:szCs w:val="28"/>
        </w:rPr>
        <w:t>:</w:t>
      </w:r>
    </w:p>
    <w:p w14:paraId="2338F406" w14:textId="77777777" w:rsidR="0075693E" w:rsidRPr="0038282D" w:rsidRDefault="0075693E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38282D">
        <w:rPr>
          <w:sz w:val="28"/>
          <w:szCs w:val="28"/>
        </w:rPr>
        <w:t xml:space="preserve">– </w:t>
      </w:r>
      <w:r w:rsidRPr="0038282D">
        <w:rPr>
          <w:i/>
          <w:sz w:val="28"/>
          <w:szCs w:val="28"/>
        </w:rPr>
        <w:t>в электронном виде</w:t>
      </w:r>
      <w:r w:rsidRPr="0038282D">
        <w:rPr>
          <w:sz w:val="28"/>
          <w:szCs w:val="28"/>
        </w:rPr>
        <w:t xml:space="preserve">: через операторов электронного документооборота (специализированный оператор связи) или через систему </w:t>
      </w:r>
      <w:r w:rsidRPr="0038282D">
        <w:rPr>
          <w:sz w:val="28"/>
          <w:szCs w:val="28"/>
          <w:lang w:val="en-US"/>
        </w:rPr>
        <w:t>web</w:t>
      </w:r>
      <w:r w:rsidRPr="0038282D">
        <w:rPr>
          <w:sz w:val="28"/>
          <w:szCs w:val="28"/>
        </w:rPr>
        <w:t>-сбора Росстата (</w:t>
      </w:r>
      <w:r w:rsidRPr="00221CFA">
        <w:rPr>
          <w:rStyle w:val="aa"/>
          <w:color w:val="auto"/>
          <w:sz w:val="28"/>
          <w:szCs w:val="28"/>
          <w:u w:val="none"/>
          <w:lang w:val="en-US"/>
        </w:rPr>
        <w:t>https</w:t>
      </w:r>
      <w:r w:rsidRPr="00221CFA">
        <w:rPr>
          <w:rStyle w:val="aa"/>
          <w:color w:val="auto"/>
          <w:sz w:val="28"/>
          <w:szCs w:val="28"/>
          <w:u w:val="none"/>
        </w:rPr>
        <w:t>://</w:t>
      </w:r>
      <w:r w:rsidRPr="00221CFA">
        <w:rPr>
          <w:rStyle w:val="aa"/>
          <w:color w:val="auto"/>
          <w:sz w:val="28"/>
          <w:szCs w:val="28"/>
          <w:u w:val="none"/>
          <w:lang w:val="en-US"/>
        </w:rPr>
        <w:t>websbor</w:t>
      </w:r>
      <w:r w:rsidRPr="00221CFA">
        <w:rPr>
          <w:rStyle w:val="aa"/>
          <w:color w:val="auto"/>
          <w:sz w:val="28"/>
          <w:szCs w:val="28"/>
          <w:u w:val="none"/>
        </w:rPr>
        <w:t>.</w:t>
      </w:r>
      <w:r w:rsidRPr="00221CFA">
        <w:rPr>
          <w:rStyle w:val="aa"/>
          <w:color w:val="auto"/>
          <w:sz w:val="28"/>
          <w:szCs w:val="28"/>
          <w:u w:val="none"/>
          <w:lang w:val="en-US"/>
        </w:rPr>
        <w:t>rosstat</w:t>
      </w:r>
      <w:r w:rsidRPr="00221CFA">
        <w:rPr>
          <w:rStyle w:val="aa"/>
          <w:color w:val="auto"/>
          <w:sz w:val="28"/>
          <w:szCs w:val="28"/>
          <w:u w:val="none"/>
        </w:rPr>
        <w:t>.</w:t>
      </w:r>
      <w:r w:rsidRPr="00221CFA">
        <w:rPr>
          <w:rStyle w:val="aa"/>
          <w:color w:val="auto"/>
          <w:sz w:val="28"/>
          <w:szCs w:val="28"/>
          <w:u w:val="none"/>
          <w:lang w:val="en-US"/>
        </w:rPr>
        <w:t>gov</w:t>
      </w:r>
      <w:r w:rsidRPr="00221CFA">
        <w:rPr>
          <w:rStyle w:val="aa"/>
          <w:color w:val="auto"/>
          <w:sz w:val="28"/>
          <w:szCs w:val="28"/>
          <w:u w:val="none"/>
        </w:rPr>
        <w:t>.</w:t>
      </w:r>
      <w:r w:rsidRPr="00221CFA">
        <w:rPr>
          <w:rStyle w:val="aa"/>
          <w:color w:val="auto"/>
          <w:sz w:val="28"/>
          <w:szCs w:val="28"/>
          <w:u w:val="none"/>
          <w:lang w:val="en-US"/>
        </w:rPr>
        <w:t>ru</w:t>
      </w:r>
      <w:r w:rsidRPr="00221CFA">
        <w:rPr>
          <w:rStyle w:val="aa"/>
          <w:color w:val="auto"/>
          <w:sz w:val="28"/>
          <w:szCs w:val="28"/>
          <w:u w:val="none"/>
        </w:rPr>
        <w:t xml:space="preserve"> </w:t>
      </w:r>
      <w:r w:rsidRPr="000072FC">
        <w:rPr>
          <w:rStyle w:val="aa"/>
          <w:color w:val="auto"/>
          <w:sz w:val="28"/>
          <w:szCs w:val="28"/>
          <w:u w:val="none"/>
        </w:rPr>
        <w:t>/</w:t>
      </w:r>
      <w:r w:rsidRPr="000072FC">
        <w:rPr>
          <w:rStyle w:val="aa"/>
          <w:color w:val="auto"/>
          <w:sz w:val="28"/>
          <w:szCs w:val="28"/>
          <w:u w:val="none"/>
          <w:lang w:val="en-US"/>
        </w:rPr>
        <w:t>online</w:t>
      </w:r>
      <w:r w:rsidRPr="0038282D">
        <w:rPr>
          <w:sz w:val="28"/>
          <w:szCs w:val="28"/>
        </w:rPr>
        <w:t>);</w:t>
      </w:r>
    </w:p>
    <w:p w14:paraId="5AF64898" w14:textId="77777777" w:rsidR="0075693E" w:rsidRPr="00BE7250" w:rsidRDefault="0075693E" w:rsidP="00885F94">
      <w:pPr>
        <w:spacing w:line="233" w:lineRule="auto"/>
        <w:ind w:firstLine="709"/>
        <w:jc w:val="both"/>
        <w:rPr>
          <w:i/>
          <w:sz w:val="28"/>
          <w:szCs w:val="28"/>
        </w:rPr>
      </w:pPr>
      <w:r w:rsidRPr="0038282D">
        <w:rPr>
          <w:sz w:val="28"/>
          <w:szCs w:val="28"/>
        </w:rPr>
        <w:t xml:space="preserve">– </w:t>
      </w:r>
      <w:r w:rsidRPr="00BE7250">
        <w:rPr>
          <w:i/>
          <w:sz w:val="28"/>
          <w:szCs w:val="28"/>
        </w:rPr>
        <w:t xml:space="preserve">на бумажном носителе, подписанная должностным лицом, ответственным за предоставление первичных статистических данных (лицо, уполномоченное предоставлять первичные статистические данные от имени юридического лица): </w:t>
      </w:r>
      <w:r w:rsidRPr="00BE7250">
        <w:rPr>
          <w:sz w:val="28"/>
          <w:szCs w:val="28"/>
        </w:rPr>
        <w:t>в структурное подразделение Донецкстата по месту нахождения или непосредственно в Донецкстат</w:t>
      </w:r>
      <w:r w:rsidRPr="00BE7250">
        <w:rPr>
          <w:i/>
          <w:sz w:val="28"/>
          <w:szCs w:val="28"/>
        </w:rPr>
        <w:t>.</w:t>
      </w:r>
    </w:p>
    <w:p w14:paraId="354BD4D3" w14:textId="16E4BE8B" w:rsidR="0075693E" w:rsidRPr="00050C7C" w:rsidRDefault="0075693E" w:rsidP="00885F94">
      <w:pPr>
        <w:spacing w:before="120" w:after="120" w:line="233" w:lineRule="auto"/>
        <w:ind w:firstLine="726"/>
        <w:jc w:val="both"/>
        <w:rPr>
          <w:sz w:val="28"/>
          <w:szCs w:val="28"/>
          <w:u w:val="single"/>
        </w:rPr>
      </w:pPr>
      <w:r w:rsidRPr="00050C7C">
        <w:rPr>
          <w:sz w:val="28"/>
          <w:szCs w:val="28"/>
          <w:u w:val="single"/>
        </w:rPr>
        <w:lastRenderedPageBreak/>
        <w:t xml:space="preserve">Сроки предоставления указанной формы с 25 мая по </w:t>
      </w:r>
      <w:r>
        <w:rPr>
          <w:sz w:val="28"/>
          <w:szCs w:val="28"/>
          <w:u w:val="single"/>
        </w:rPr>
        <w:t>1-е июл</w:t>
      </w:r>
      <w:r w:rsidRPr="00050C7C">
        <w:rPr>
          <w:sz w:val="28"/>
          <w:szCs w:val="28"/>
          <w:u w:val="single"/>
        </w:rPr>
        <w:t>я 2024 года.</w:t>
      </w:r>
    </w:p>
    <w:p w14:paraId="5C2142CA" w14:textId="77777777" w:rsidR="00F16BFF" w:rsidRPr="0038282D" w:rsidRDefault="00F16BFF" w:rsidP="00885F94">
      <w:pPr>
        <w:spacing w:line="233" w:lineRule="auto"/>
        <w:ind w:firstLine="705"/>
        <w:rPr>
          <w:b/>
          <w:sz w:val="28"/>
          <w:szCs w:val="28"/>
        </w:rPr>
      </w:pPr>
      <w:r w:rsidRPr="0038282D">
        <w:rPr>
          <w:b/>
          <w:sz w:val="28"/>
          <w:szCs w:val="28"/>
        </w:rPr>
        <w:t>Особенности заполнения отдельных показателей формы</w:t>
      </w:r>
    </w:p>
    <w:p w14:paraId="1377309F" w14:textId="4A0A6F28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>В разделе I учитываются данные по реализованным и приобретенным на вторичном рынке в течение отчетного года по текущим рыночным ценам объектам основных фондов. Текущая рыночная стоимость – это наиболее вероятная цена, по которой объекты основных фондов могут быть реализованы на открытом рынке в условиях конкуренции, когда стороны сделки действуют разумно, располагая достаточной информацией, а на величине сделки не отражаются какие-либо чрезвычайные обстоятельства.</w:t>
      </w:r>
    </w:p>
    <w:p w14:paraId="5E90F882" w14:textId="7777777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>В разделе не учитываются следующие виды сделок:</w:t>
      </w:r>
    </w:p>
    <w:p w14:paraId="7A9A8EA1" w14:textId="0D573FFB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6BFF">
        <w:rPr>
          <w:sz w:val="28"/>
          <w:szCs w:val="28"/>
        </w:rPr>
        <w:t>реализация и приобретение произведенных новых объектов, еще не служивших в качестве основных фондов;</w:t>
      </w:r>
    </w:p>
    <w:p w14:paraId="165EBCEA" w14:textId="673E299E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6BFF">
        <w:rPr>
          <w:sz w:val="28"/>
          <w:szCs w:val="28"/>
        </w:rPr>
        <w:t>безвозмездная передача и приобретение объектов основных фондов, их продажа и приобретение не по рыночным ценам;</w:t>
      </w:r>
    </w:p>
    <w:p w14:paraId="4B820B63" w14:textId="56CF7D65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6BFF">
        <w:rPr>
          <w:sz w:val="28"/>
          <w:szCs w:val="28"/>
        </w:rPr>
        <w:t>реализация коммерческими банками и иными кредитными организациями объектов основных фондов, являющихся предметами залога;</w:t>
      </w:r>
    </w:p>
    <w:p w14:paraId="56FBBF83" w14:textId="710A743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6BFF">
        <w:rPr>
          <w:sz w:val="28"/>
          <w:szCs w:val="28"/>
        </w:rPr>
        <w:t>реализация организациями-дилерами демонстрационных автомобилей для тест-драйва;</w:t>
      </w:r>
    </w:p>
    <w:p w14:paraId="12EEE9AC" w14:textId="39194ABB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6BFF">
        <w:rPr>
          <w:sz w:val="28"/>
          <w:szCs w:val="28"/>
        </w:rPr>
        <w:t>реализация объектов основных фондов по договору купли-продажи между организацией и ее сотрудником;</w:t>
      </w:r>
    </w:p>
    <w:p w14:paraId="7287203B" w14:textId="1A54BF61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16BFF">
        <w:rPr>
          <w:sz w:val="28"/>
          <w:szCs w:val="28"/>
        </w:rPr>
        <w:t xml:space="preserve">передача или продажа объектов организациям, специализирующимся на утилизации, в целях их утилизации (например, оборудования – </w:t>
      </w:r>
      <w:r w:rsidRPr="00F16BFF">
        <w:rPr>
          <w:sz w:val="28"/>
          <w:szCs w:val="28"/>
        </w:rPr>
        <w:br/>
        <w:t>на металлолом, зданий и сооружений – на стройматериалы), поскольку в основе таких сделок лежит не текущая рыночная стоимость объекта основных фондов, а рыночная стоимость получаемых при утилизации материалов.</w:t>
      </w:r>
    </w:p>
    <w:p w14:paraId="44EC72D7" w14:textId="7777777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 xml:space="preserve">Для организаций, не относящихся к субъектам среднего и малого предпринимательства, </w:t>
      </w:r>
      <w:r w:rsidRPr="00F16BFF">
        <w:rPr>
          <w:sz w:val="28"/>
          <w:szCs w:val="28"/>
        </w:rPr>
        <w:sym w:font="Symbol" w:char="F02D"/>
      </w:r>
      <w:r w:rsidRPr="00F16BFF">
        <w:rPr>
          <w:sz w:val="28"/>
          <w:szCs w:val="28"/>
        </w:rPr>
        <w:t xml:space="preserve"> до 25 объектов, в том числе до 5 объектов </w:t>
      </w:r>
      <w:r w:rsidRPr="00F16BFF">
        <w:rPr>
          <w:sz w:val="28"/>
          <w:szCs w:val="28"/>
        </w:rPr>
        <w:br/>
        <w:t>по каждому виду основных фондов.</w:t>
      </w:r>
    </w:p>
    <w:p w14:paraId="3DFE823D" w14:textId="7777777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 xml:space="preserve">Для субъектов среднего предпринимательства </w:t>
      </w:r>
      <w:r w:rsidRPr="00F16BFF">
        <w:rPr>
          <w:sz w:val="28"/>
          <w:szCs w:val="28"/>
        </w:rPr>
        <w:sym w:font="Symbol" w:char="F02D"/>
      </w:r>
      <w:r w:rsidRPr="00F16BFF">
        <w:rPr>
          <w:sz w:val="28"/>
          <w:szCs w:val="28"/>
        </w:rPr>
        <w:t xml:space="preserve"> до 15 объектов, в том числе до 3 объектов по каждому виду основных фондов.</w:t>
      </w:r>
    </w:p>
    <w:p w14:paraId="67D739B8" w14:textId="7777777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>Для некоммерческих организаций – до 10 объектов, в том числе до 2 объектов по каждому виду основных фондов.</w:t>
      </w:r>
    </w:p>
    <w:p w14:paraId="46CE46B2" w14:textId="77777777" w:rsidR="00F16BFF" w:rsidRPr="00035457" w:rsidRDefault="00F16BFF" w:rsidP="00885F94">
      <w:pPr>
        <w:spacing w:line="233" w:lineRule="auto"/>
        <w:ind w:firstLine="709"/>
        <w:jc w:val="both"/>
        <w:rPr>
          <w:spacing w:val="-2"/>
          <w:sz w:val="28"/>
          <w:szCs w:val="28"/>
        </w:rPr>
      </w:pPr>
      <w:r w:rsidRPr="00035457">
        <w:rPr>
          <w:spacing w:val="-2"/>
          <w:sz w:val="28"/>
          <w:szCs w:val="28"/>
        </w:rPr>
        <w:t>Источником информации для заполнения данных по форме являются инвентарные карточки учета основных средств и первичный бухгалтерский учет (счета по учету основных средств 01, 03 – у коммерческих организаций; 10100, 10600 – у бюджетных организаций).</w:t>
      </w:r>
    </w:p>
    <w:p w14:paraId="727B085B" w14:textId="7777777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 xml:space="preserve">Данные в форме приводятся без налога на добавленную стоимость (далее – НДС) за исключением тех случаев, когда в соответствии </w:t>
      </w:r>
      <w:r w:rsidRPr="00F16BFF">
        <w:rPr>
          <w:sz w:val="28"/>
          <w:szCs w:val="28"/>
        </w:rPr>
        <w:br/>
        <w:t>с законодательством Российской Федерации НДС учитывается в стоимости основных средств.</w:t>
      </w:r>
    </w:p>
    <w:p w14:paraId="74FC8843" w14:textId="77777777" w:rsidR="00F16BFF" w:rsidRPr="00F16BFF" w:rsidRDefault="00F16BFF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F16BFF">
        <w:rPr>
          <w:sz w:val="28"/>
          <w:szCs w:val="28"/>
        </w:rPr>
        <w:t>В качестве объекта, фигурирующего в разделе, учитывается объект классификации основных фондов в соответствии с введением</w:t>
      </w:r>
      <w:r w:rsidRPr="00F16BFF">
        <w:rPr>
          <w:sz w:val="28"/>
          <w:szCs w:val="28"/>
        </w:rPr>
        <w:br/>
        <w:t>к Общероссийскому классификатору основных фондов (ОК 013-2014 (СНС 2008)), принятому и введенному в действие приказом Росстандарта</w:t>
      </w:r>
      <w:r w:rsidRPr="00F16BFF">
        <w:rPr>
          <w:sz w:val="28"/>
          <w:szCs w:val="28"/>
        </w:rPr>
        <w:br/>
        <w:t xml:space="preserve">от 12 декабря 2014 г. № 2018-ст (далее – ОКОФ), каждое отдельно стоящее здание, </w:t>
      </w:r>
      <w:r w:rsidRPr="00F16BFF">
        <w:rPr>
          <w:sz w:val="28"/>
          <w:szCs w:val="28"/>
        </w:rPr>
        <w:lastRenderedPageBreak/>
        <w:t>отдельное сооружение со всеми устройствами, составляющими с ним единое целое, отдельная машина и так далее.</w:t>
      </w:r>
    </w:p>
    <w:p w14:paraId="26E572D6" w14:textId="77777777" w:rsidR="00035457" w:rsidRPr="00035457" w:rsidRDefault="00035457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035457">
        <w:rPr>
          <w:sz w:val="28"/>
          <w:szCs w:val="28"/>
        </w:rPr>
        <w:t>В графе А по строкам, номера которых приведены в графе Б, указывается наименование объекта в соответствии с данными первичного учета.</w:t>
      </w:r>
    </w:p>
    <w:p w14:paraId="4B733570" w14:textId="77777777" w:rsidR="00035457" w:rsidRPr="00035457" w:rsidRDefault="00035457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035457">
        <w:rPr>
          <w:sz w:val="28"/>
          <w:szCs w:val="28"/>
        </w:rPr>
        <w:t>В графе 3 указывается порядковый номер объекта основных фондов арабскими цифрами от 1 до 5, при этом нумерация начинается с 1</w:t>
      </w:r>
      <w:r w:rsidRPr="00035457">
        <w:rPr>
          <w:sz w:val="28"/>
          <w:szCs w:val="28"/>
        </w:rPr>
        <w:br/>
        <w:t>при переходе к каждому новому виду основных фондов.</w:t>
      </w:r>
    </w:p>
    <w:p w14:paraId="1DD5F549" w14:textId="77777777" w:rsidR="00035457" w:rsidRPr="00035457" w:rsidRDefault="00035457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035457">
        <w:rPr>
          <w:sz w:val="28"/>
          <w:szCs w:val="28"/>
        </w:rPr>
        <w:t>В графе 4 в обязательном порядке указывается код (7 – 12 знаков, включая 3, проставленных на бланке) по ОКОФ, в соответствии</w:t>
      </w:r>
      <w:r w:rsidRPr="00035457">
        <w:rPr>
          <w:sz w:val="28"/>
          <w:szCs w:val="28"/>
        </w:rPr>
        <w:br/>
        <w:t>с принятой структурой кода (XXX.XX.XX.XX.XXX). Объект, закодированный группировочным кодом ОКОФ, включающим менее</w:t>
      </w:r>
      <w:r w:rsidRPr="00035457">
        <w:rPr>
          <w:sz w:val="28"/>
          <w:szCs w:val="28"/>
        </w:rPr>
        <w:br/>
        <w:t xml:space="preserve">7 знаков, необходимо детализировать до 7 знаков и выше, вплоть до 12. </w:t>
      </w:r>
    </w:p>
    <w:p w14:paraId="342FC511" w14:textId="77777777" w:rsidR="00035457" w:rsidRPr="00035457" w:rsidRDefault="00035457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035457">
        <w:rPr>
          <w:sz w:val="28"/>
          <w:szCs w:val="28"/>
        </w:rPr>
        <w:t>Использование иных классификаций (например, налоговой классификации) не допускается.</w:t>
      </w:r>
    </w:p>
    <w:p w14:paraId="42792519" w14:textId="68EAD087" w:rsidR="00035457" w:rsidRPr="00035457" w:rsidRDefault="00035457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035457">
        <w:rPr>
          <w:sz w:val="28"/>
          <w:szCs w:val="28"/>
        </w:rPr>
        <w:t>В графе 5 отражается год первоначального ввода в эксплуатацию объекта основных средств на основании графы 5 раздела 1 инвентарной карточки учета объекта основных средств (унифицированная форма № ОС-6, утвержденная постановлением Госкомстата России от 21 января</w:t>
      </w:r>
      <w:r w:rsidRPr="00035457">
        <w:rPr>
          <w:sz w:val="28"/>
          <w:szCs w:val="28"/>
        </w:rPr>
        <w:br/>
        <w:t>2003 г. № 7 или форма № 0504031, утвержденная приказом Минфина России от 30 марта 2015 г. № 52н (зарегистрирован Минюстом России</w:t>
      </w:r>
      <w:r w:rsidRPr="00035457">
        <w:rPr>
          <w:sz w:val="28"/>
          <w:szCs w:val="28"/>
        </w:rPr>
        <w:br/>
        <w:t xml:space="preserve">2 июня 2015 г., регистрационный № 37519). Год должен указываться полностью (4 знака). Следует отметить, что указывается год именно первоначального ввода в эксплуатацию объекта, а не год начала его использования в исследуемой организации. Если данных о годе первоначального ввода в эксплуатацию нет, то для зданий и сооружений указывается год постройки, </w:t>
      </w:r>
      <w:r w:rsidRPr="00035457">
        <w:rPr>
          <w:sz w:val="28"/>
          <w:szCs w:val="28"/>
        </w:rPr>
        <w:br/>
        <w:t>для информационного, компьютерного и телекоммуникационного оборудования и прочим машинам и оборудованию, включая хозяйственный инвентарь, и другим объектам – год изготовления объекта.</w:t>
      </w:r>
    </w:p>
    <w:p w14:paraId="775D6453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Если объект, проданный в отчетном году, ранее был приобретен продавцом на вторичном рынке не по текущей рыночной стоимости,</w:t>
      </w:r>
      <w:r w:rsidRPr="00885F94">
        <w:rPr>
          <w:sz w:val="28"/>
          <w:szCs w:val="28"/>
        </w:rPr>
        <w:br/>
        <w:t>а по полной учетной или остаточной балансовой стоимости, существовавших у предыдущего владельца, то вместо года приобретения объекта продавцом в графе 8 учитывается год, в ценах которого основные фонды учитывались предыдущим владельцем.</w:t>
      </w:r>
    </w:p>
    <w:p w14:paraId="1F826C2B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В разделе </w:t>
      </w:r>
      <w:r w:rsidRPr="00885F94">
        <w:rPr>
          <w:sz w:val="28"/>
          <w:szCs w:val="28"/>
          <w:lang w:val="en-US"/>
        </w:rPr>
        <w:t>II</w:t>
      </w:r>
      <w:r w:rsidRPr="00885F94">
        <w:rPr>
          <w:sz w:val="28"/>
          <w:szCs w:val="28"/>
        </w:rPr>
        <w:t xml:space="preserve"> учитываются объекты, находящиеся в аренде по состоянию на конец 2023 года (независимо от того, сданы ли они в аренду</w:t>
      </w:r>
      <w:r w:rsidRPr="00885F94">
        <w:rPr>
          <w:sz w:val="28"/>
          <w:szCs w:val="28"/>
        </w:rPr>
        <w:br/>
        <w:t xml:space="preserve">в течение 2023 года или до начала этого года), представляемые арендатору (лизингополучателю) во временное возмездное владение, пользование и учитываемые арендодателем (лизингодателем) на счетах по учету основных средств или доходных вложений в материальные ценности: </w:t>
      </w:r>
      <w:r w:rsidRPr="00885F94">
        <w:rPr>
          <w:sz w:val="28"/>
          <w:szCs w:val="28"/>
        </w:rPr>
        <w:br/>
        <w:t>для организаций, не относящихся к субъектам среднего и малого предпринимательства, – до 10 отдельно учитываемых объектов</w:t>
      </w:r>
      <w:r w:rsidRPr="00885F94">
        <w:rPr>
          <w:sz w:val="28"/>
          <w:szCs w:val="28"/>
        </w:rPr>
        <w:br/>
        <w:t>или их совокупностей; для субъектов среднего предпринимательства – до 7; для некоммерческих организаций – до 5 объектов.</w:t>
      </w:r>
    </w:p>
    <w:p w14:paraId="697C72C7" w14:textId="6DD72E30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Графы А, 3, 4, 6, 7, 8, 9, 12 по строкам, номера которых указаны в графе Б, заполняются аналогично соответствующим показателям</w:t>
      </w:r>
      <w:r w:rsidRPr="00885F94">
        <w:rPr>
          <w:sz w:val="28"/>
          <w:szCs w:val="28"/>
        </w:rPr>
        <w:br/>
      </w:r>
      <w:r w:rsidRPr="00885F94">
        <w:rPr>
          <w:sz w:val="28"/>
          <w:szCs w:val="28"/>
        </w:rPr>
        <w:lastRenderedPageBreak/>
        <w:t xml:space="preserve">раздела I. При этом в графе А указывается вид основных фондов (аналогично проставленному на бланке в разделе </w:t>
      </w:r>
      <w:r w:rsidRPr="00885F94">
        <w:rPr>
          <w:sz w:val="28"/>
          <w:szCs w:val="28"/>
          <w:lang w:val="en-US"/>
        </w:rPr>
        <w:t>I</w:t>
      </w:r>
      <w:r w:rsidRPr="00885F94">
        <w:rPr>
          <w:sz w:val="28"/>
          <w:szCs w:val="28"/>
        </w:rPr>
        <w:t>) и наименование объекта. Полная учетная и остаточная балансовая стоимость, учитываемые соответственно в графах 7 и 8, и год, в ценах которого учтен объект, в графе 9 учитываются по состоянию на конец отчетного года.</w:t>
      </w:r>
    </w:p>
    <w:p w14:paraId="40172AE6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Совокупности объектов могут указываться в тех случаях, когда имеются затруднения в распределении по отдельным объектам арендной платы, определенной в целом для нескольких объектов, одновременно сданных в аренду (например, они арендованы на различный срок). </w:t>
      </w:r>
      <w:r w:rsidRPr="00885F94">
        <w:rPr>
          <w:sz w:val="28"/>
          <w:szCs w:val="28"/>
        </w:rPr>
        <w:br/>
        <w:t>При этом код ОКОФ и другие показатели указываются по тому из объектов совокупности, который имеет наибольшую стоимость.</w:t>
      </w:r>
    </w:p>
    <w:p w14:paraId="53D58F46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Если здание сдается в аренду частично, то в графах 7 и 8 указывается стоимость соответствующей части объекта (рассчитывается на основе доли площади, сданной в аренду).</w:t>
      </w:r>
    </w:p>
    <w:p w14:paraId="42E6427A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Не учитывается в качестве объекта часть крыши здания, сданная в аренду для размещения на ней различных сооружений, таких, например, как вышка сотовой связи и подобное.</w:t>
      </w:r>
    </w:p>
    <w:p w14:paraId="3A45481D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При сдаче в аренду совокупности объектов величина полученной арендной платы распределяется по отдельным объектам пропорционально их остаточной балансовой стоимости (если она равна 0, то пропорционально полной учетной стоимости).</w:t>
      </w:r>
    </w:p>
    <w:p w14:paraId="0EEC4399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Для объектов, находящихся в аренде в течение части отчетного года, величина арендной платы приводится в годовом выражении. Например, если объект находился в аренде в отчетном году в течение 11 месяцев и суммарная арендная плата за данный период составила</w:t>
      </w:r>
      <w:r w:rsidRPr="00885F94">
        <w:rPr>
          <w:sz w:val="28"/>
          <w:szCs w:val="28"/>
        </w:rPr>
        <w:br/>
        <w:t>100 тыс. руб., то величина арендной платы приводится к годовому эквиваленту следующим образом: (100 / 11)</w:t>
      </w:r>
      <w:r w:rsidRPr="00885F94">
        <w:rPr>
          <w:sz w:val="28"/>
          <w:szCs w:val="28"/>
        </w:rPr>
        <w:sym w:font="Symbol" w:char="F0D7"/>
      </w:r>
      <w:r w:rsidRPr="00885F94">
        <w:rPr>
          <w:sz w:val="28"/>
          <w:szCs w:val="28"/>
        </w:rPr>
        <w:t>12 = 109. Соответственно в графе 10 будет указано значение 109, а не 100.</w:t>
      </w:r>
    </w:p>
    <w:p w14:paraId="18EA0DDD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В графе 11 отражается период (количество полных месяцев), на который объект сдан в аренду по условиям договора аренды.</w:t>
      </w:r>
    </w:p>
    <w:p w14:paraId="6622A37C" w14:textId="1166AA38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В случаях краткосрочной аренды, когда договор аренды заключается на срок меньше 1 года, например, на 11 месяцев, но существует практика пролонгации данного договора на такой же срок, в графе 11 указывается период действующего договора аренды объекта – то есть</w:t>
      </w:r>
      <w:r>
        <w:rPr>
          <w:sz w:val="28"/>
          <w:szCs w:val="28"/>
        </w:rPr>
        <w:t xml:space="preserve"> </w:t>
      </w:r>
      <w:r w:rsidRPr="00885F94">
        <w:rPr>
          <w:sz w:val="28"/>
          <w:szCs w:val="28"/>
        </w:rPr>
        <w:t>11 месяцев.</w:t>
      </w:r>
    </w:p>
    <w:p w14:paraId="59E6C1D5" w14:textId="77777777" w:rsidR="00885F94" w:rsidRPr="00885F94" w:rsidRDefault="00885F94" w:rsidP="00885F94">
      <w:pPr>
        <w:spacing w:line="233" w:lineRule="auto"/>
        <w:ind w:firstLine="709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Если срок аренды в договоре не указан, а также в случаях если арендная плата за отчетный год не начислялась, то соответствующие объекты в обследование не включаются.</w:t>
      </w:r>
    </w:p>
    <w:p w14:paraId="502175E4" w14:textId="0773546B" w:rsidR="00E6164C" w:rsidRPr="0038282D" w:rsidRDefault="00E6164C" w:rsidP="00885F94">
      <w:pPr>
        <w:pStyle w:val="ac"/>
        <w:spacing w:before="16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82D">
        <w:rPr>
          <w:rFonts w:ascii="Times New Roman" w:hAnsi="Times New Roman"/>
          <w:sz w:val="28"/>
          <w:szCs w:val="28"/>
        </w:rPr>
        <w:t>Просим учесть рекомендации для повышения качества формируемой информации и снижения трудоемкости по обработке информационных массивов.</w:t>
      </w:r>
    </w:p>
    <w:p w14:paraId="28368F3A" w14:textId="77777777" w:rsidR="00E6164C" w:rsidRPr="0038282D" w:rsidRDefault="00E6164C" w:rsidP="00885F94">
      <w:pPr>
        <w:suppressAutoHyphens/>
        <w:spacing w:line="233" w:lineRule="auto"/>
        <w:ind w:firstLine="709"/>
        <w:jc w:val="both"/>
        <w:rPr>
          <w:sz w:val="28"/>
          <w:szCs w:val="28"/>
        </w:rPr>
      </w:pPr>
    </w:p>
    <w:p w14:paraId="7D349FDA" w14:textId="77777777" w:rsidR="0066725A" w:rsidRPr="0038282D" w:rsidRDefault="0066725A" w:rsidP="00885F94">
      <w:pPr>
        <w:spacing w:line="233" w:lineRule="auto"/>
        <w:ind w:firstLine="709"/>
        <w:rPr>
          <w:sz w:val="16"/>
          <w:szCs w:val="16"/>
        </w:rPr>
      </w:pPr>
      <w:r w:rsidRPr="0038282D">
        <w:rPr>
          <w:sz w:val="28"/>
          <w:szCs w:val="28"/>
        </w:rPr>
        <w:t>Благодарим за сотрудничество!</w:t>
      </w:r>
      <w:r w:rsidRPr="0038282D">
        <w:rPr>
          <w:sz w:val="16"/>
          <w:szCs w:val="16"/>
        </w:rPr>
        <w:t xml:space="preserve"> </w:t>
      </w:r>
    </w:p>
    <w:p w14:paraId="33174FA2" w14:textId="77777777" w:rsidR="00CF5BB6" w:rsidRPr="0038282D" w:rsidRDefault="00CF5BB6" w:rsidP="00885F94">
      <w:pPr>
        <w:suppressAutoHyphens/>
        <w:spacing w:line="233" w:lineRule="auto"/>
        <w:ind w:firstLine="709"/>
        <w:jc w:val="both"/>
        <w:rPr>
          <w:sz w:val="28"/>
          <w:szCs w:val="28"/>
        </w:rPr>
      </w:pPr>
    </w:p>
    <w:p w14:paraId="66E56B8C" w14:textId="77777777" w:rsidR="0066725A" w:rsidRPr="0038282D" w:rsidRDefault="0066725A" w:rsidP="00885F94">
      <w:pPr>
        <w:suppressAutoHyphens/>
        <w:spacing w:line="233" w:lineRule="auto"/>
        <w:ind w:firstLine="709"/>
        <w:jc w:val="both"/>
        <w:rPr>
          <w:sz w:val="28"/>
          <w:szCs w:val="28"/>
        </w:rPr>
      </w:pPr>
    </w:p>
    <w:p w14:paraId="44E4059E" w14:textId="521B9959" w:rsidR="00CF5BB6" w:rsidRPr="0038282D" w:rsidRDefault="00CF5BB6" w:rsidP="00885F94">
      <w:pPr>
        <w:spacing w:line="233" w:lineRule="auto"/>
        <w:jc w:val="both"/>
        <w:rPr>
          <w:bCs/>
          <w:sz w:val="28"/>
          <w:szCs w:val="28"/>
        </w:rPr>
      </w:pPr>
      <w:r w:rsidRPr="0038282D">
        <w:rPr>
          <w:bCs/>
          <w:sz w:val="28"/>
          <w:szCs w:val="28"/>
        </w:rPr>
        <w:t>Контактны</w:t>
      </w:r>
      <w:r w:rsidR="00410B18" w:rsidRPr="0038282D">
        <w:rPr>
          <w:bCs/>
          <w:sz w:val="28"/>
          <w:szCs w:val="28"/>
        </w:rPr>
        <w:t>й телефон</w:t>
      </w:r>
      <w:r w:rsidRPr="0038282D">
        <w:rPr>
          <w:bCs/>
          <w:sz w:val="28"/>
          <w:szCs w:val="28"/>
        </w:rPr>
        <w:t xml:space="preserve"> для консультаций:</w:t>
      </w:r>
    </w:p>
    <w:p w14:paraId="7AB84BB9" w14:textId="77777777" w:rsidR="00CF5BB6" w:rsidRPr="0038282D" w:rsidRDefault="00CF5BB6" w:rsidP="00885F94">
      <w:pPr>
        <w:spacing w:line="233" w:lineRule="auto"/>
        <w:jc w:val="both"/>
        <w:rPr>
          <w:bCs/>
          <w:sz w:val="28"/>
          <w:szCs w:val="28"/>
        </w:rPr>
      </w:pPr>
    </w:p>
    <w:p w14:paraId="1B81AEDF" w14:textId="4FB118AE" w:rsidR="001707C4" w:rsidRPr="0038282D" w:rsidRDefault="003D0FC4" w:rsidP="00885F94">
      <w:pPr>
        <w:spacing w:line="233" w:lineRule="auto"/>
        <w:jc w:val="both"/>
        <w:rPr>
          <w:sz w:val="28"/>
          <w:szCs w:val="28"/>
        </w:rPr>
      </w:pPr>
      <w:r w:rsidRPr="0038282D">
        <w:rPr>
          <w:bCs/>
          <w:sz w:val="28"/>
          <w:szCs w:val="28"/>
        </w:rPr>
        <w:t>+7(</w:t>
      </w:r>
      <w:r w:rsidR="0087623E">
        <w:rPr>
          <w:bCs/>
          <w:sz w:val="28"/>
          <w:szCs w:val="28"/>
        </w:rPr>
        <w:t>949</w:t>
      </w:r>
      <w:r w:rsidRPr="0038282D">
        <w:rPr>
          <w:bCs/>
          <w:sz w:val="28"/>
          <w:szCs w:val="28"/>
        </w:rPr>
        <w:t xml:space="preserve">) </w:t>
      </w:r>
      <w:r w:rsidR="0087623E">
        <w:rPr>
          <w:bCs/>
          <w:sz w:val="28"/>
          <w:szCs w:val="28"/>
        </w:rPr>
        <w:t>347</w:t>
      </w:r>
      <w:r w:rsidRPr="0038282D">
        <w:rPr>
          <w:bCs/>
          <w:sz w:val="28"/>
          <w:szCs w:val="28"/>
        </w:rPr>
        <w:t>-</w:t>
      </w:r>
      <w:r w:rsidR="0087623E">
        <w:rPr>
          <w:bCs/>
          <w:sz w:val="28"/>
          <w:szCs w:val="28"/>
        </w:rPr>
        <w:t>05</w:t>
      </w:r>
      <w:r w:rsidRPr="0038282D">
        <w:rPr>
          <w:bCs/>
          <w:sz w:val="28"/>
          <w:szCs w:val="28"/>
        </w:rPr>
        <w:t>-</w:t>
      </w:r>
      <w:r w:rsidR="0087623E">
        <w:rPr>
          <w:bCs/>
          <w:sz w:val="28"/>
          <w:szCs w:val="28"/>
        </w:rPr>
        <w:t>94</w:t>
      </w:r>
      <w:bookmarkStart w:id="0" w:name="_GoBack"/>
      <w:bookmarkEnd w:id="0"/>
    </w:p>
    <w:sectPr w:rsidR="001707C4" w:rsidRPr="0038282D" w:rsidSect="008D2F4A">
      <w:headerReference w:type="even" r:id="rId8"/>
      <w:headerReference w:type="default" r:id="rId9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B645" w14:textId="77777777" w:rsidR="00AC5D10" w:rsidRDefault="00AC5D10">
      <w:r>
        <w:separator/>
      </w:r>
    </w:p>
  </w:endnote>
  <w:endnote w:type="continuationSeparator" w:id="0">
    <w:p w14:paraId="76854613" w14:textId="77777777" w:rsidR="00AC5D10" w:rsidRDefault="00AC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68BF" w14:textId="77777777" w:rsidR="00AC5D10" w:rsidRDefault="00AC5D10">
      <w:r>
        <w:separator/>
      </w:r>
    </w:p>
  </w:footnote>
  <w:footnote w:type="continuationSeparator" w:id="0">
    <w:p w14:paraId="5D54B407" w14:textId="77777777" w:rsidR="00AC5D10" w:rsidRDefault="00AC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B9F1F" w14:textId="77777777" w:rsidR="002C6B50" w:rsidRDefault="003610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42B9F" w14:textId="77777777" w:rsidR="002C6B50" w:rsidRDefault="00AC5D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B8E17" w14:textId="77777777" w:rsidR="002C6B50" w:rsidRDefault="003610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623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51"/>
    <w:rsid w:val="00003E2C"/>
    <w:rsid w:val="000059B0"/>
    <w:rsid w:val="000072FC"/>
    <w:rsid w:val="00017391"/>
    <w:rsid w:val="00027AD4"/>
    <w:rsid w:val="00035457"/>
    <w:rsid w:val="00050C7C"/>
    <w:rsid w:val="0006142A"/>
    <w:rsid w:val="000639DF"/>
    <w:rsid w:val="00081C8D"/>
    <w:rsid w:val="000B1566"/>
    <w:rsid w:val="000B4594"/>
    <w:rsid w:val="000B556E"/>
    <w:rsid w:val="000C2893"/>
    <w:rsid w:val="000C7FAD"/>
    <w:rsid w:val="000E37D2"/>
    <w:rsid w:val="00102A73"/>
    <w:rsid w:val="00115332"/>
    <w:rsid w:val="00123938"/>
    <w:rsid w:val="001404E4"/>
    <w:rsid w:val="00140B7F"/>
    <w:rsid w:val="00157E7F"/>
    <w:rsid w:val="001707C4"/>
    <w:rsid w:val="001900BA"/>
    <w:rsid w:val="0019228E"/>
    <w:rsid w:val="001B029C"/>
    <w:rsid w:val="001F0897"/>
    <w:rsid w:val="001F0A4D"/>
    <w:rsid w:val="001F309C"/>
    <w:rsid w:val="002215D6"/>
    <w:rsid w:val="00221CFA"/>
    <w:rsid w:val="00236F77"/>
    <w:rsid w:val="002664A9"/>
    <w:rsid w:val="002B7AFF"/>
    <w:rsid w:val="002F4ECE"/>
    <w:rsid w:val="00330945"/>
    <w:rsid w:val="00355BD0"/>
    <w:rsid w:val="003560FA"/>
    <w:rsid w:val="00360603"/>
    <w:rsid w:val="0036108E"/>
    <w:rsid w:val="0036382E"/>
    <w:rsid w:val="00375B84"/>
    <w:rsid w:val="00376875"/>
    <w:rsid w:val="003801D2"/>
    <w:rsid w:val="0038282D"/>
    <w:rsid w:val="003841D7"/>
    <w:rsid w:val="003845D1"/>
    <w:rsid w:val="00395194"/>
    <w:rsid w:val="003A4B51"/>
    <w:rsid w:val="003B484E"/>
    <w:rsid w:val="003C7FF9"/>
    <w:rsid w:val="003D0FC4"/>
    <w:rsid w:val="003D6F26"/>
    <w:rsid w:val="003E09BA"/>
    <w:rsid w:val="00403EAD"/>
    <w:rsid w:val="00410B18"/>
    <w:rsid w:val="0042345A"/>
    <w:rsid w:val="00435D9B"/>
    <w:rsid w:val="0044152D"/>
    <w:rsid w:val="00445C81"/>
    <w:rsid w:val="00464EBD"/>
    <w:rsid w:val="00472A14"/>
    <w:rsid w:val="0049018A"/>
    <w:rsid w:val="004B177E"/>
    <w:rsid w:val="005210A3"/>
    <w:rsid w:val="00524D58"/>
    <w:rsid w:val="00585139"/>
    <w:rsid w:val="005A6632"/>
    <w:rsid w:val="005A7697"/>
    <w:rsid w:val="005B1453"/>
    <w:rsid w:val="005B58A3"/>
    <w:rsid w:val="005C3372"/>
    <w:rsid w:val="005E391D"/>
    <w:rsid w:val="005E3AD8"/>
    <w:rsid w:val="005E7449"/>
    <w:rsid w:val="005F6F0C"/>
    <w:rsid w:val="00603DBF"/>
    <w:rsid w:val="00604FF0"/>
    <w:rsid w:val="00621254"/>
    <w:rsid w:val="00625284"/>
    <w:rsid w:val="00640B86"/>
    <w:rsid w:val="006604B0"/>
    <w:rsid w:val="0066725A"/>
    <w:rsid w:val="00675075"/>
    <w:rsid w:val="00686808"/>
    <w:rsid w:val="006905C1"/>
    <w:rsid w:val="0069797C"/>
    <w:rsid w:val="00715935"/>
    <w:rsid w:val="007171C1"/>
    <w:rsid w:val="007250F0"/>
    <w:rsid w:val="00730ACC"/>
    <w:rsid w:val="00732DA3"/>
    <w:rsid w:val="007459C5"/>
    <w:rsid w:val="00755E38"/>
    <w:rsid w:val="0075693E"/>
    <w:rsid w:val="007773E7"/>
    <w:rsid w:val="0079347F"/>
    <w:rsid w:val="007B0785"/>
    <w:rsid w:val="007B7177"/>
    <w:rsid w:val="007C02DB"/>
    <w:rsid w:val="007D16B2"/>
    <w:rsid w:val="007E3AF0"/>
    <w:rsid w:val="008052A8"/>
    <w:rsid w:val="0084188F"/>
    <w:rsid w:val="0084255C"/>
    <w:rsid w:val="008623A3"/>
    <w:rsid w:val="00871BB9"/>
    <w:rsid w:val="0087623E"/>
    <w:rsid w:val="00885F94"/>
    <w:rsid w:val="008A07BD"/>
    <w:rsid w:val="008A514B"/>
    <w:rsid w:val="008B020E"/>
    <w:rsid w:val="008B133D"/>
    <w:rsid w:val="008D1389"/>
    <w:rsid w:val="008D2947"/>
    <w:rsid w:val="008D2F4A"/>
    <w:rsid w:val="008E2E4B"/>
    <w:rsid w:val="008F09E4"/>
    <w:rsid w:val="008F1AA4"/>
    <w:rsid w:val="008F36E5"/>
    <w:rsid w:val="00907AD2"/>
    <w:rsid w:val="00915102"/>
    <w:rsid w:val="00917872"/>
    <w:rsid w:val="00922CC0"/>
    <w:rsid w:val="0093148E"/>
    <w:rsid w:val="00937D2A"/>
    <w:rsid w:val="00952494"/>
    <w:rsid w:val="0096345F"/>
    <w:rsid w:val="00963C2C"/>
    <w:rsid w:val="00964B08"/>
    <w:rsid w:val="009A3623"/>
    <w:rsid w:val="009B59BC"/>
    <w:rsid w:val="009C0432"/>
    <w:rsid w:val="009D5E4D"/>
    <w:rsid w:val="009D6652"/>
    <w:rsid w:val="009D6D52"/>
    <w:rsid w:val="009E7BFA"/>
    <w:rsid w:val="009F503A"/>
    <w:rsid w:val="00A008A7"/>
    <w:rsid w:val="00A02301"/>
    <w:rsid w:val="00A21240"/>
    <w:rsid w:val="00A212D2"/>
    <w:rsid w:val="00A23E32"/>
    <w:rsid w:val="00A3024E"/>
    <w:rsid w:val="00A4011D"/>
    <w:rsid w:val="00A4780D"/>
    <w:rsid w:val="00A643CE"/>
    <w:rsid w:val="00AC5D10"/>
    <w:rsid w:val="00AD3718"/>
    <w:rsid w:val="00AF322F"/>
    <w:rsid w:val="00B02C91"/>
    <w:rsid w:val="00B1370D"/>
    <w:rsid w:val="00B50405"/>
    <w:rsid w:val="00B5066B"/>
    <w:rsid w:val="00B510F5"/>
    <w:rsid w:val="00B57F20"/>
    <w:rsid w:val="00B62996"/>
    <w:rsid w:val="00B9796C"/>
    <w:rsid w:val="00BB1F71"/>
    <w:rsid w:val="00BC6C55"/>
    <w:rsid w:val="00BD1A52"/>
    <w:rsid w:val="00BE2457"/>
    <w:rsid w:val="00BE7250"/>
    <w:rsid w:val="00C013B9"/>
    <w:rsid w:val="00C07CE1"/>
    <w:rsid w:val="00C173F1"/>
    <w:rsid w:val="00C52F8A"/>
    <w:rsid w:val="00C732D0"/>
    <w:rsid w:val="00C95F50"/>
    <w:rsid w:val="00CB30DA"/>
    <w:rsid w:val="00CC20C0"/>
    <w:rsid w:val="00CC6BD1"/>
    <w:rsid w:val="00CD791E"/>
    <w:rsid w:val="00CF132B"/>
    <w:rsid w:val="00CF5BB6"/>
    <w:rsid w:val="00CF6817"/>
    <w:rsid w:val="00D10690"/>
    <w:rsid w:val="00D41144"/>
    <w:rsid w:val="00D425E5"/>
    <w:rsid w:val="00D71AF5"/>
    <w:rsid w:val="00D911C1"/>
    <w:rsid w:val="00DA72FD"/>
    <w:rsid w:val="00DB32E6"/>
    <w:rsid w:val="00DD129E"/>
    <w:rsid w:val="00DE0AA2"/>
    <w:rsid w:val="00E07C26"/>
    <w:rsid w:val="00E20B1C"/>
    <w:rsid w:val="00E20FBC"/>
    <w:rsid w:val="00E60C4C"/>
    <w:rsid w:val="00E6164C"/>
    <w:rsid w:val="00E71DD5"/>
    <w:rsid w:val="00E72F62"/>
    <w:rsid w:val="00E823C8"/>
    <w:rsid w:val="00E84099"/>
    <w:rsid w:val="00EA399B"/>
    <w:rsid w:val="00EB06C9"/>
    <w:rsid w:val="00EC74C6"/>
    <w:rsid w:val="00EC7DE3"/>
    <w:rsid w:val="00ED5649"/>
    <w:rsid w:val="00F0489C"/>
    <w:rsid w:val="00F16999"/>
    <w:rsid w:val="00F16BFF"/>
    <w:rsid w:val="00F255D3"/>
    <w:rsid w:val="00F25EE6"/>
    <w:rsid w:val="00F805AD"/>
    <w:rsid w:val="00F86528"/>
    <w:rsid w:val="00F86EAE"/>
    <w:rsid w:val="00F86F3B"/>
    <w:rsid w:val="00F94426"/>
    <w:rsid w:val="00FA4F50"/>
    <w:rsid w:val="00FA5744"/>
    <w:rsid w:val="00FD1141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42DA"/>
  <w15:chartTrackingRefBased/>
  <w15:docId w15:val="{22FF138B-6774-4699-BDE0-B7AF12C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B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B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3A4B51"/>
  </w:style>
  <w:style w:type="paragraph" w:styleId="a6">
    <w:name w:val="Date"/>
    <w:basedOn w:val="a"/>
    <w:next w:val="a"/>
    <w:link w:val="a7"/>
    <w:semiHidden/>
    <w:rsid w:val="003A4B51"/>
  </w:style>
  <w:style w:type="character" w:customStyle="1" w:styleId="a7">
    <w:name w:val="Дата Знак"/>
    <w:basedOn w:val="a0"/>
    <w:link w:val="a6"/>
    <w:semiHidden/>
    <w:rsid w:val="003A4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5B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BB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D2F4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504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6164C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F86F3B"/>
    <w:rPr>
      <w:color w:val="954F72" w:themeColor="followedHyperlink"/>
      <w:u w:val="single"/>
    </w:rPr>
  </w:style>
  <w:style w:type="paragraph" w:styleId="2">
    <w:name w:val="envelope return"/>
    <w:basedOn w:val="a"/>
    <w:semiHidden/>
    <w:rsid w:val="002664A9"/>
    <w:rPr>
      <w:rFonts w:ascii="Arial" w:hAnsi="Arial"/>
      <w:sz w:val="20"/>
    </w:rPr>
  </w:style>
  <w:style w:type="paragraph" w:styleId="ae">
    <w:name w:val="footnote text"/>
    <w:basedOn w:val="a"/>
    <w:link w:val="af"/>
    <w:uiPriority w:val="99"/>
    <w:semiHidden/>
    <w:unhideWhenUsed/>
    <w:rsid w:val="005E7449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E7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5E7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stat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5E0A-EEE2-4C6C-A31F-73354DD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Николаевна</dc:creator>
  <cp:keywords/>
  <dc:description/>
  <cp:lastModifiedBy>User</cp:lastModifiedBy>
  <cp:revision>8</cp:revision>
  <cp:lastPrinted>2024-01-18T10:55:00Z</cp:lastPrinted>
  <dcterms:created xsi:type="dcterms:W3CDTF">2024-05-16T14:05:00Z</dcterms:created>
  <dcterms:modified xsi:type="dcterms:W3CDTF">2024-05-17T06:23:00Z</dcterms:modified>
</cp:coreProperties>
</file>